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19FA" w14:textId="77777777" w:rsidR="00EF754C" w:rsidRDefault="00EF754C" w:rsidP="00EF754C">
      <w:pPr>
        <w:pStyle w:val="Heading1"/>
        <w:spacing w:before="51"/>
        <w:rPr>
          <w:u w:val="none"/>
        </w:rPr>
      </w:pPr>
      <w:r w:rsidRPr="00710E65">
        <w:rPr>
          <w:rFonts w:asciiTheme="minorHAnsi" w:hAnsiTheme="minorHAnsi" w:cstheme="minorHAnsi"/>
          <w:b/>
          <w:bCs/>
        </w:rPr>
        <w:t>Instructions</w:t>
      </w:r>
      <w:r>
        <w:t>:</w:t>
      </w:r>
    </w:p>
    <w:p w14:paraId="61F0504E" w14:textId="77777777" w:rsidR="00EF754C" w:rsidRDefault="00EF754C" w:rsidP="00EF754C">
      <w:pPr>
        <w:pStyle w:val="BodyText"/>
        <w:spacing w:before="2"/>
        <w:rPr>
          <w:rFonts w:ascii="Calibri Light"/>
          <w:sz w:val="21"/>
        </w:rPr>
      </w:pPr>
    </w:p>
    <w:p w14:paraId="4D2FE087" w14:textId="7611D22C" w:rsidR="004B213A" w:rsidRPr="00710E65" w:rsidRDefault="00EF754C" w:rsidP="00AF3E11">
      <w:pPr>
        <w:pStyle w:val="BodyText"/>
        <w:spacing w:before="56"/>
        <w:ind w:left="1260" w:right="1360"/>
        <w:rPr>
          <w:sz w:val="20"/>
          <w:szCs w:val="20"/>
        </w:rPr>
      </w:pPr>
      <w:r w:rsidRPr="00710E65">
        <w:rPr>
          <w:sz w:val="20"/>
          <w:szCs w:val="20"/>
        </w:rPr>
        <w:t>To be considered for a fee reduction for service</w:t>
      </w:r>
      <w:r w:rsidR="00AF3E11" w:rsidRPr="00710E65">
        <w:rPr>
          <w:sz w:val="20"/>
          <w:szCs w:val="20"/>
        </w:rPr>
        <w:t>(</w:t>
      </w:r>
      <w:r w:rsidRPr="00710E65">
        <w:rPr>
          <w:sz w:val="20"/>
          <w:szCs w:val="20"/>
        </w:rPr>
        <w:t>s</w:t>
      </w:r>
      <w:r w:rsidR="00AF3E11" w:rsidRPr="00710E65">
        <w:rPr>
          <w:sz w:val="20"/>
          <w:szCs w:val="20"/>
        </w:rPr>
        <w:t>) provided at Valley Community Services Board if you have no medical insurance or are receiving services</w:t>
      </w:r>
      <w:r w:rsidRPr="00710E65">
        <w:rPr>
          <w:sz w:val="20"/>
          <w:szCs w:val="20"/>
        </w:rPr>
        <w:t xml:space="preserve"> that are not covered by your insurance</w:t>
      </w:r>
      <w:r w:rsidR="00AF3E11" w:rsidRPr="00710E65">
        <w:rPr>
          <w:sz w:val="20"/>
          <w:szCs w:val="20"/>
        </w:rPr>
        <w:t xml:space="preserve">, you must </w:t>
      </w:r>
      <w:r w:rsidR="004B213A" w:rsidRPr="00710E65">
        <w:rPr>
          <w:sz w:val="20"/>
          <w:szCs w:val="20"/>
        </w:rPr>
        <w:t xml:space="preserve">first apply for Virginia Medicaid, show proof that your income exceeds the limits for eligibility, or present a Medicaid denial dated within the past six months. You will also need to </w:t>
      </w:r>
      <w:r w:rsidR="00AF3E11" w:rsidRPr="00710E65">
        <w:rPr>
          <w:sz w:val="20"/>
          <w:szCs w:val="20"/>
        </w:rPr>
        <w:t>complete this VCSB</w:t>
      </w:r>
      <w:r w:rsidRPr="00710E65">
        <w:rPr>
          <w:sz w:val="20"/>
          <w:szCs w:val="20"/>
        </w:rPr>
        <w:t xml:space="preserve"> fee reduction</w:t>
      </w:r>
      <w:r w:rsidRPr="00710E65">
        <w:rPr>
          <w:spacing w:val="-4"/>
          <w:sz w:val="20"/>
          <w:szCs w:val="20"/>
        </w:rPr>
        <w:t xml:space="preserve"> </w:t>
      </w:r>
      <w:r w:rsidRPr="00710E65">
        <w:rPr>
          <w:sz w:val="20"/>
          <w:szCs w:val="20"/>
        </w:rPr>
        <w:t>application.</w:t>
      </w:r>
      <w:r w:rsidRPr="00710E65">
        <w:rPr>
          <w:spacing w:val="44"/>
          <w:sz w:val="20"/>
          <w:szCs w:val="20"/>
        </w:rPr>
        <w:t xml:space="preserve"> </w:t>
      </w:r>
      <w:r w:rsidRPr="00710E65">
        <w:rPr>
          <w:sz w:val="20"/>
          <w:szCs w:val="20"/>
        </w:rPr>
        <w:t>This</w:t>
      </w:r>
      <w:r w:rsidRPr="00710E65">
        <w:rPr>
          <w:spacing w:val="-1"/>
          <w:sz w:val="20"/>
          <w:szCs w:val="20"/>
        </w:rPr>
        <w:t xml:space="preserve"> </w:t>
      </w:r>
      <w:r w:rsidRPr="00710E65">
        <w:rPr>
          <w:sz w:val="20"/>
          <w:szCs w:val="20"/>
        </w:rPr>
        <w:t>should</w:t>
      </w:r>
      <w:r w:rsidRPr="00710E65">
        <w:rPr>
          <w:spacing w:val="-1"/>
          <w:sz w:val="20"/>
          <w:szCs w:val="20"/>
        </w:rPr>
        <w:t xml:space="preserve"> </w:t>
      </w:r>
      <w:r w:rsidRPr="00710E65">
        <w:rPr>
          <w:sz w:val="20"/>
          <w:szCs w:val="20"/>
        </w:rPr>
        <w:t>be</w:t>
      </w:r>
      <w:r w:rsidRPr="00710E65">
        <w:rPr>
          <w:spacing w:val="-3"/>
          <w:sz w:val="20"/>
          <w:szCs w:val="20"/>
        </w:rPr>
        <w:t xml:space="preserve"> </w:t>
      </w:r>
      <w:r w:rsidRPr="00710E65">
        <w:rPr>
          <w:sz w:val="20"/>
          <w:szCs w:val="20"/>
        </w:rPr>
        <w:t>completed</w:t>
      </w:r>
      <w:r w:rsidRPr="00710E65">
        <w:rPr>
          <w:spacing w:val="-4"/>
          <w:sz w:val="20"/>
          <w:szCs w:val="20"/>
        </w:rPr>
        <w:t xml:space="preserve"> </w:t>
      </w:r>
      <w:r w:rsidRPr="00710E65">
        <w:rPr>
          <w:sz w:val="20"/>
          <w:szCs w:val="20"/>
        </w:rPr>
        <w:t>by the</w:t>
      </w:r>
      <w:r w:rsidRPr="00710E65">
        <w:rPr>
          <w:spacing w:val="1"/>
          <w:sz w:val="20"/>
          <w:szCs w:val="20"/>
        </w:rPr>
        <w:t xml:space="preserve"> </w:t>
      </w:r>
      <w:r w:rsidRPr="00710E65">
        <w:rPr>
          <w:sz w:val="20"/>
          <w:szCs w:val="20"/>
        </w:rPr>
        <w:t>person(s)</w:t>
      </w:r>
      <w:r w:rsidRPr="00710E65">
        <w:rPr>
          <w:spacing w:val="-1"/>
          <w:sz w:val="20"/>
          <w:szCs w:val="20"/>
        </w:rPr>
        <w:t xml:space="preserve"> </w:t>
      </w:r>
      <w:r w:rsidRPr="00710E65">
        <w:rPr>
          <w:sz w:val="20"/>
          <w:szCs w:val="20"/>
        </w:rPr>
        <w:t>responsible for</w:t>
      </w:r>
      <w:r w:rsidRPr="00710E65">
        <w:rPr>
          <w:spacing w:val="-3"/>
          <w:sz w:val="20"/>
          <w:szCs w:val="20"/>
        </w:rPr>
        <w:t xml:space="preserve"> </w:t>
      </w:r>
      <w:r w:rsidRPr="00710E65">
        <w:rPr>
          <w:sz w:val="20"/>
          <w:szCs w:val="20"/>
        </w:rPr>
        <w:t>the</w:t>
      </w:r>
      <w:r w:rsidRPr="00710E65">
        <w:rPr>
          <w:spacing w:val="-3"/>
          <w:sz w:val="20"/>
          <w:szCs w:val="20"/>
        </w:rPr>
        <w:t xml:space="preserve"> </w:t>
      </w:r>
      <w:r w:rsidRPr="00710E65">
        <w:rPr>
          <w:sz w:val="20"/>
          <w:szCs w:val="20"/>
        </w:rPr>
        <w:t>charges.</w:t>
      </w:r>
      <w:r w:rsidR="00AF3E11" w:rsidRPr="00710E65">
        <w:rPr>
          <w:sz w:val="20"/>
          <w:szCs w:val="20"/>
        </w:rPr>
        <w:t xml:space="preserve"> </w:t>
      </w:r>
      <w:r w:rsidR="00832094">
        <w:rPr>
          <w:sz w:val="20"/>
          <w:szCs w:val="20"/>
        </w:rPr>
        <w:t>See definition below.</w:t>
      </w:r>
    </w:p>
    <w:p w14:paraId="19A0F61D" w14:textId="77777777" w:rsidR="00EF754C" w:rsidRPr="00710E65" w:rsidRDefault="00EF754C" w:rsidP="00EF754C">
      <w:pPr>
        <w:pStyle w:val="BodyText"/>
        <w:spacing w:before="9"/>
        <w:rPr>
          <w:sz w:val="20"/>
          <w:szCs w:val="20"/>
        </w:rPr>
      </w:pPr>
    </w:p>
    <w:p w14:paraId="4F0E8882" w14:textId="5EF7D655" w:rsidR="00EF754C" w:rsidRPr="00585961" w:rsidRDefault="00EF754C" w:rsidP="00EF754C">
      <w:pPr>
        <w:pStyle w:val="BodyText"/>
        <w:ind w:left="1259" w:right="1572"/>
        <w:jc w:val="both"/>
        <w:rPr>
          <w:sz w:val="20"/>
          <w:szCs w:val="20"/>
        </w:rPr>
      </w:pPr>
      <w:r w:rsidRPr="00585961">
        <w:rPr>
          <w:sz w:val="20"/>
          <w:szCs w:val="20"/>
        </w:rPr>
        <w:t xml:space="preserve">Once </w:t>
      </w:r>
      <w:r w:rsidR="00710E65" w:rsidRPr="00585961">
        <w:rPr>
          <w:sz w:val="20"/>
          <w:szCs w:val="20"/>
        </w:rPr>
        <w:t>the application</w:t>
      </w:r>
      <w:r w:rsidRPr="00585961">
        <w:rPr>
          <w:sz w:val="20"/>
          <w:szCs w:val="20"/>
        </w:rPr>
        <w:t xml:space="preserve"> is completed you will have 14 days to submit </w:t>
      </w:r>
      <w:r w:rsidR="004B213A" w:rsidRPr="00585961">
        <w:rPr>
          <w:sz w:val="20"/>
          <w:szCs w:val="20"/>
        </w:rPr>
        <w:t xml:space="preserve">all </w:t>
      </w:r>
      <w:r w:rsidRPr="00585961">
        <w:rPr>
          <w:sz w:val="20"/>
          <w:szCs w:val="20"/>
        </w:rPr>
        <w:t>supporting documentation. You must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 xml:space="preserve">provide </w:t>
      </w:r>
      <w:r w:rsidR="00710E65" w:rsidRPr="00585961">
        <w:rPr>
          <w:sz w:val="20"/>
          <w:szCs w:val="20"/>
        </w:rPr>
        <w:t>all requested documentation,</w:t>
      </w:r>
      <w:r w:rsidRPr="00585961">
        <w:rPr>
          <w:sz w:val="20"/>
          <w:szCs w:val="20"/>
        </w:rPr>
        <w:t xml:space="preserve"> or you will be assessed at full fee regardless of household income until such time as the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verification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is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provided.</w:t>
      </w:r>
    </w:p>
    <w:p w14:paraId="7B97B21F" w14:textId="77777777" w:rsidR="00EF754C" w:rsidRPr="00585961" w:rsidRDefault="00EF754C" w:rsidP="00EF754C">
      <w:pPr>
        <w:pStyle w:val="BodyText"/>
        <w:spacing w:before="11"/>
        <w:rPr>
          <w:sz w:val="20"/>
          <w:szCs w:val="20"/>
        </w:rPr>
      </w:pPr>
    </w:p>
    <w:p w14:paraId="059959BC" w14:textId="56AD07BC" w:rsidR="00EF754C" w:rsidRPr="00585961" w:rsidRDefault="00EF754C" w:rsidP="00EF754C">
      <w:pPr>
        <w:pStyle w:val="BodyText"/>
        <w:ind w:left="1259" w:right="1212"/>
        <w:rPr>
          <w:sz w:val="20"/>
          <w:szCs w:val="20"/>
        </w:rPr>
      </w:pPr>
      <w:r w:rsidRPr="00585961">
        <w:rPr>
          <w:sz w:val="20"/>
          <w:szCs w:val="20"/>
        </w:rPr>
        <w:t>Please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complete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form and return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it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as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directed by VCSB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staff with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appropriate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documents.</w:t>
      </w:r>
      <w:r w:rsidRPr="00585961">
        <w:rPr>
          <w:spacing w:val="3"/>
          <w:sz w:val="20"/>
          <w:szCs w:val="20"/>
        </w:rPr>
        <w:t xml:space="preserve"> </w:t>
      </w:r>
      <w:r w:rsidR="00190763" w:rsidRPr="00585961">
        <w:rPr>
          <w:sz w:val="20"/>
          <w:szCs w:val="20"/>
        </w:rPr>
        <w:t>VCSB</w:t>
      </w:r>
      <w:r w:rsidR="00190763">
        <w:rPr>
          <w:sz w:val="20"/>
          <w:szCs w:val="20"/>
        </w:rPr>
        <w:t xml:space="preserve"> </w:t>
      </w:r>
      <w:r w:rsidR="00802A80">
        <w:rPr>
          <w:sz w:val="20"/>
          <w:szCs w:val="20"/>
        </w:rPr>
        <w:t xml:space="preserve">can </w:t>
      </w:r>
      <w:r w:rsidRPr="00585961">
        <w:rPr>
          <w:sz w:val="20"/>
          <w:szCs w:val="20"/>
        </w:rPr>
        <w:t>assist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you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in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making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copies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of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your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originals.</w:t>
      </w:r>
    </w:p>
    <w:p w14:paraId="6714282F" w14:textId="77777777" w:rsidR="00EF754C" w:rsidRPr="00585961" w:rsidRDefault="00EF754C" w:rsidP="00EF754C">
      <w:pPr>
        <w:pStyle w:val="BodyText"/>
        <w:spacing w:before="1"/>
        <w:rPr>
          <w:sz w:val="20"/>
          <w:szCs w:val="20"/>
        </w:rPr>
      </w:pPr>
    </w:p>
    <w:p w14:paraId="0B567755" w14:textId="77777777" w:rsidR="00EF754C" w:rsidRPr="00585961" w:rsidRDefault="00EF754C" w:rsidP="00EF754C">
      <w:pPr>
        <w:pStyle w:val="BodyText"/>
        <w:ind w:left="1259"/>
        <w:jc w:val="both"/>
        <w:rPr>
          <w:b/>
          <w:bCs/>
          <w:sz w:val="20"/>
          <w:szCs w:val="20"/>
        </w:rPr>
      </w:pPr>
      <w:r w:rsidRPr="00585961">
        <w:rPr>
          <w:b/>
          <w:bCs/>
          <w:sz w:val="20"/>
          <w:szCs w:val="20"/>
        </w:rPr>
        <w:t>Lab</w:t>
      </w:r>
      <w:r w:rsidRPr="00585961">
        <w:rPr>
          <w:b/>
          <w:bCs/>
          <w:spacing w:val="-3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work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and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Urine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Drug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Screens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do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not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participate</w:t>
      </w:r>
      <w:r w:rsidRPr="00585961">
        <w:rPr>
          <w:b/>
          <w:bCs/>
          <w:spacing w:val="-4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in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the</w:t>
      </w:r>
      <w:r w:rsidRPr="00585961">
        <w:rPr>
          <w:b/>
          <w:bCs/>
          <w:spacing w:val="-3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Fee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Reduction</w:t>
      </w:r>
      <w:r w:rsidRPr="00585961">
        <w:rPr>
          <w:b/>
          <w:bCs/>
          <w:spacing w:val="-5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and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are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billed</w:t>
      </w:r>
      <w:r w:rsidRPr="00585961">
        <w:rPr>
          <w:b/>
          <w:bCs/>
          <w:spacing w:val="-2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at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full</w:t>
      </w:r>
      <w:r w:rsidRPr="00585961">
        <w:rPr>
          <w:b/>
          <w:bCs/>
          <w:spacing w:val="-1"/>
          <w:sz w:val="20"/>
          <w:szCs w:val="20"/>
        </w:rPr>
        <w:t xml:space="preserve"> </w:t>
      </w:r>
      <w:r w:rsidRPr="00585961">
        <w:rPr>
          <w:b/>
          <w:bCs/>
          <w:sz w:val="20"/>
          <w:szCs w:val="20"/>
        </w:rPr>
        <w:t>fee.</w:t>
      </w:r>
    </w:p>
    <w:p w14:paraId="5174DD31" w14:textId="77777777" w:rsidR="005D1BFD" w:rsidRPr="00585961" w:rsidRDefault="005D1BFD" w:rsidP="00EF754C">
      <w:pPr>
        <w:pStyle w:val="BodyText"/>
        <w:ind w:left="1259"/>
        <w:jc w:val="both"/>
        <w:rPr>
          <w:b/>
          <w:bCs/>
          <w:sz w:val="20"/>
          <w:szCs w:val="20"/>
        </w:rPr>
      </w:pPr>
    </w:p>
    <w:p w14:paraId="131E2F8D" w14:textId="2567BF95" w:rsidR="005D1BFD" w:rsidRPr="00585961" w:rsidRDefault="005D1BFD" w:rsidP="00EF754C">
      <w:pPr>
        <w:pStyle w:val="BodyText"/>
        <w:ind w:left="1259"/>
        <w:jc w:val="both"/>
        <w:rPr>
          <w:b/>
          <w:bCs/>
          <w:sz w:val="20"/>
          <w:szCs w:val="20"/>
        </w:rPr>
      </w:pPr>
      <w:r w:rsidRPr="00585961">
        <w:rPr>
          <w:b/>
          <w:bCs/>
          <w:sz w:val="20"/>
          <w:szCs w:val="20"/>
        </w:rPr>
        <w:t xml:space="preserve">No reduction can be applied for </w:t>
      </w:r>
      <w:r w:rsidR="00710E65" w:rsidRPr="00585961">
        <w:rPr>
          <w:b/>
          <w:bCs/>
          <w:sz w:val="20"/>
          <w:szCs w:val="20"/>
        </w:rPr>
        <w:t>the amounts</w:t>
      </w:r>
      <w:r w:rsidRPr="00585961">
        <w:rPr>
          <w:b/>
          <w:bCs/>
          <w:sz w:val="20"/>
          <w:szCs w:val="20"/>
        </w:rPr>
        <w:t xml:space="preserve"> your insurance company indicates are your responsibility to include deductibles, </w:t>
      </w:r>
      <w:r w:rsidR="00710E65" w:rsidRPr="00585961">
        <w:rPr>
          <w:b/>
          <w:bCs/>
          <w:sz w:val="20"/>
          <w:szCs w:val="20"/>
        </w:rPr>
        <w:t>coinsurance,</w:t>
      </w:r>
      <w:r w:rsidRPr="00585961">
        <w:rPr>
          <w:b/>
          <w:bCs/>
          <w:sz w:val="20"/>
          <w:szCs w:val="20"/>
        </w:rPr>
        <w:t xml:space="preserve"> and copayments.</w:t>
      </w:r>
    </w:p>
    <w:p w14:paraId="3FEA5167" w14:textId="77777777" w:rsidR="00EF754C" w:rsidRDefault="00EF754C" w:rsidP="00EF754C">
      <w:pPr>
        <w:pStyle w:val="BodyText"/>
        <w:spacing w:before="4"/>
        <w:rPr>
          <w:sz w:val="18"/>
        </w:rPr>
      </w:pPr>
    </w:p>
    <w:p w14:paraId="1B41B85C" w14:textId="77777777" w:rsidR="00EF754C" w:rsidRPr="00710E65" w:rsidRDefault="00EF754C" w:rsidP="00EF754C">
      <w:pPr>
        <w:pStyle w:val="Heading1"/>
        <w:ind w:left="1262"/>
      </w:pPr>
      <w:bookmarkStart w:id="0" w:name="Definitions:"/>
      <w:bookmarkEnd w:id="0"/>
      <w:r w:rsidRPr="00710E65">
        <w:rPr>
          <w:rFonts w:asciiTheme="minorHAnsi" w:hAnsiTheme="minorHAnsi" w:cstheme="minorHAnsi"/>
          <w:b/>
          <w:bCs/>
        </w:rPr>
        <w:t>Definitions</w:t>
      </w:r>
      <w:r w:rsidRPr="00710E65">
        <w:t>:</w:t>
      </w:r>
    </w:p>
    <w:p w14:paraId="067BEEAD" w14:textId="77777777" w:rsidR="00710E65" w:rsidRDefault="00710E65" w:rsidP="00EF754C">
      <w:pPr>
        <w:pStyle w:val="Heading1"/>
        <w:ind w:left="1262"/>
        <w:rPr>
          <w:u w:val="none"/>
        </w:rPr>
      </w:pPr>
    </w:p>
    <w:p w14:paraId="14ECF5A3" w14:textId="67DB743B" w:rsidR="00EF754C" w:rsidRPr="00585961" w:rsidRDefault="00EF754C" w:rsidP="00EF754C">
      <w:pPr>
        <w:pStyle w:val="BodyText"/>
        <w:ind w:left="1260" w:right="1212"/>
        <w:rPr>
          <w:sz w:val="20"/>
          <w:szCs w:val="20"/>
        </w:rPr>
      </w:pPr>
      <w:r w:rsidRPr="00585961">
        <w:rPr>
          <w:b/>
          <w:bCs/>
          <w:sz w:val="20"/>
          <w:szCs w:val="20"/>
        </w:rPr>
        <w:t>Household</w:t>
      </w:r>
      <w:r w:rsidRPr="00585961">
        <w:rPr>
          <w:sz w:val="20"/>
          <w:szCs w:val="20"/>
        </w:rPr>
        <w:t>:</w:t>
      </w:r>
      <w:r w:rsidRPr="00585961">
        <w:rPr>
          <w:spacing w:val="4"/>
          <w:sz w:val="20"/>
          <w:szCs w:val="20"/>
        </w:rPr>
        <w:t xml:space="preserve"> </w:t>
      </w:r>
      <w:r w:rsidRPr="00585961">
        <w:rPr>
          <w:sz w:val="20"/>
          <w:szCs w:val="20"/>
        </w:rPr>
        <w:t>Refers to client, client's</w:t>
      </w:r>
      <w:r w:rsidRPr="00585961">
        <w:rPr>
          <w:spacing w:val="2"/>
          <w:sz w:val="20"/>
          <w:szCs w:val="20"/>
        </w:rPr>
        <w:t xml:space="preserve"> </w:t>
      </w:r>
      <w:r w:rsidRPr="00585961">
        <w:rPr>
          <w:sz w:val="20"/>
          <w:szCs w:val="20"/>
        </w:rPr>
        <w:t>spouse, and any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children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under the age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of 18. If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the client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is an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unmarried minor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 xml:space="preserve">under the age of 18, the </w:t>
      </w:r>
      <w:r w:rsidR="00710E65" w:rsidRPr="00585961">
        <w:rPr>
          <w:sz w:val="20"/>
          <w:szCs w:val="20"/>
        </w:rPr>
        <w:t>client’s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 xml:space="preserve">parents or legal </w:t>
      </w:r>
      <w:r w:rsidR="00190763" w:rsidRPr="00585961">
        <w:rPr>
          <w:sz w:val="20"/>
          <w:szCs w:val="20"/>
        </w:rPr>
        <w:t>guardians’</w:t>
      </w:r>
      <w:r w:rsidRPr="00585961">
        <w:rPr>
          <w:spacing w:val="1"/>
          <w:sz w:val="20"/>
          <w:szCs w:val="20"/>
        </w:rPr>
        <w:t xml:space="preserve"> </w:t>
      </w:r>
      <w:r w:rsidR="00710E65" w:rsidRPr="00585961">
        <w:rPr>
          <w:spacing w:val="1"/>
          <w:sz w:val="20"/>
          <w:szCs w:val="20"/>
        </w:rPr>
        <w:t>income would be</w:t>
      </w:r>
      <w:r w:rsidRPr="00585961">
        <w:rPr>
          <w:sz w:val="20"/>
          <w:szCs w:val="20"/>
        </w:rPr>
        <w:t xml:space="preserve"> </w:t>
      </w:r>
      <w:r w:rsidR="00710E65" w:rsidRPr="00585961">
        <w:rPr>
          <w:sz w:val="20"/>
          <w:szCs w:val="20"/>
        </w:rPr>
        <w:t xml:space="preserve">part </w:t>
      </w:r>
      <w:r w:rsidR="00034C2E" w:rsidRPr="00585961">
        <w:rPr>
          <w:sz w:val="20"/>
          <w:szCs w:val="20"/>
        </w:rPr>
        <w:t>of</w:t>
      </w:r>
      <w:r w:rsidR="00034C2E" w:rsidRPr="00585961">
        <w:rPr>
          <w:spacing w:val="-1"/>
          <w:sz w:val="20"/>
          <w:szCs w:val="20"/>
        </w:rPr>
        <w:t xml:space="preserve"> the</w:t>
      </w:r>
      <w:r w:rsidRPr="00585961">
        <w:rPr>
          <w:sz w:val="20"/>
          <w:szCs w:val="20"/>
        </w:rPr>
        <w:t xml:space="preserve"> household</w:t>
      </w:r>
      <w:r w:rsidR="00710E65" w:rsidRPr="00585961">
        <w:rPr>
          <w:sz w:val="20"/>
          <w:szCs w:val="20"/>
        </w:rPr>
        <w:t xml:space="preserve"> income</w:t>
      </w:r>
      <w:r w:rsidRPr="00585961">
        <w:rPr>
          <w:sz w:val="20"/>
          <w:szCs w:val="20"/>
        </w:rPr>
        <w:t>.</w:t>
      </w:r>
    </w:p>
    <w:p w14:paraId="61982091" w14:textId="77777777" w:rsidR="00EF754C" w:rsidRPr="00585961" w:rsidRDefault="00EF754C" w:rsidP="00EF754C">
      <w:pPr>
        <w:pStyle w:val="BodyText"/>
        <w:spacing w:before="9"/>
        <w:rPr>
          <w:sz w:val="20"/>
          <w:szCs w:val="20"/>
        </w:rPr>
      </w:pPr>
    </w:p>
    <w:p w14:paraId="3EC173D2" w14:textId="77777777" w:rsidR="00710E65" w:rsidRPr="00585961" w:rsidRDefault="00EF754C" w:rsidP="00EF754C">
      <w:pPr>
        <w:pStyle w:val="BodyText"/>
        <w:ind w:left="1260" w:right="1360" w:firstLine="2"/>
        <w:rPr>
          <w:sz w:val="20"/>
          <w:szCs w:val="20"/>
        </w:rPr>
      </w:pPr>
      <w:r w:rsidRPr="00585961">
        <w:rPr>
          <w:rFonts w:asciiTheme="minorHAnsi" w:hAnsiTheme="minorHAnsi" w:cstheme="minorHAnsi"/>
          <w:b/>
          <w:bCs/>
          <w:sz w:val="20"/>
          <w:szCs w:val="20"/>
        </w:rPr>
        <w:t>Responsible</w:t>
      </w:r>
      <w:r w:rsidRPr="00585961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585961">
        <w:rPr>
          <w:rFonts w:asciiTheme="minorHAnsi" w:hAnsiTheme="minorHAnsi" w:cstheme="minorHAnsi"/>
          <w:b/>
          <w:bCs/>
          <w:sz w:val="20"/>
          <w:szCs w:val="20"/>
        </w:rPr>
        <w:t>parties</w:t>
      </w:r>
      <w:r w:rsidR="00AF3E11" w:rsidRPr="00585961">
        <w:rPr>
          <w:rFonts w:ascii="Calibri Light" w:hAnsi="Calibri Light"/>
          <w:sz w:val="20"/>
          <w:szCs w:val="20"/>
          <w:u w:val="single"/>
        </w:rPr>
        <w:t>:</w:t>
      </w:r>
      <w:r w:rsidRPr="00585961">
        <w:rPr>
          <w:rFonts w:ascii="Calibri Light" w:hAnsi="Calibri Light"/>
          <w:spacing w:val="-9"/>
          <w:sz w:val="20"/>
          <w:szCs w:val="20"/>
        </w:rPr>
        <w:t xml:space="preserve"> </w:t>
      </w:r>
      <w:r w:rsidRPr="00585961">
        <w:rPr>
          <w:sz w:val="20"/>
          <w:szCs w:val="20"/>
        </w:rPr>
        <w:t>Client,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Client’s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spouse,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and/or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Client’s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parents,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if</w:t>
      </w:r>
      <w:r w:rsidRPr="00585961">
        <w:rPr>
          <w:spacing w:val="-7"/>
          <w:sz w:val="20"/>
          <w:szCs w:val="20"/>
        </w:rPr>
        <w:t xml:space="preserve"> </w:t>
      </w:r>
      <w:r w:rsidRPr="00585961">
        <w:rPr>
          <w:sz w:val="20"/>
          <w:szCs w:val="20"/>
        </w:rPr>
        <w:t>the client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is</w:t>
      </w:r>
      <w:r w:rsidRPr="00585961">
        <w:rPr>
          <w:spacing w:val="-2"/>
          <w:sz w:val="20"/>
          <w:szCs w:val="20"/>
        </w:rPr>
        <w:t xml:space="preserve"> </w:t>
      </w:r>
      <w:r w:rsidR="00710E65" w:rsidRPr="00585961">
        <w:rPr>
          <w:sz w:val="20"/>
          <w:szCs w:val="20"/>
        </w:rPr>
        <w:t>an unmarried</w:t>
      </w:r>
      <w:r w:rsidR="00710E65" w:rsidRPr="00585961">
        <w:rPr>
          <w:spacing w:val="-4"/>
          <w:sz w:val="20"/>
          <w:szCs w:val="20"/>
        </w:rPr>
        <w:t xml:space="preserve">   </w:t>
      </w:r>
      <w:r w:rsidRPr="00585961">
        <w:rPr>
          <w:sz w:val="20"/>
          <w:szCs w:val="20"/>
        </w:rPr>
        <w:t>minor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under the age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of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18.</w:t>
      </w:r>
    </w:p>
    <w:p w14:paraId="242636EA" w14:textId="1E8508F2" w:rsidR="00EF754C" w:rsidRPr="00585961" w:rsidRDefault="00EF754C" w:rsidP="00EF754C">
      <w:pPr>
        <w:pStyle w:val="BodyText"/>
        <w:ind w:left="1260" w:right="1360" w:firstLine="2"/>
        <w:rPr>
          <w:sz w:val="20"/>
          <w:szCs w:val="20"/>
        </w:rPr>
      </w:pPr>
      <w:r w:rsidRPr="00585961">
        <w:rPr>
          <w:sz w:val="20"/>
          <w:szCs w:val="20"/>
        </w:rPr>
        <w:t>Special considerations:</w:t>
      </w:r>
    </w:p>
    <w:p w14:paraId="6915797C" w14:textId="77777777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before="0" w:line="256" w:lineRule="auto"/>
        <w:ind w:right="1241" w:hanging="360"/>
        <w:rPr>
          <w:sz w:val="20"/>
          <w:szCs w:val="20"/>
        </w:rPr>
      </w:pPr>
      <w:r w:rsidRPr="00585961">
        <w:rPr>
          <w:sz w:val="20"/>
          <w:szCs w:val="20"/>
        </w:rPr>
        <w:t>Child of divorced parents – Both parents are legally liable for payment. However, the fee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percentage will be established based on the income of the parent who brings the child in for</w:t>
      </w:r>
      <w:r w:rsidRPr="00585961">
        <w:rPr>
          <w:spacing w:val="-47"/>
          <w:sz w:val="20"/>
          <w:szCs w:val="20"/>
        </w:rPr>
        <w:t xml:space="preserve"> </w:t>
      </w:r>
      <w:r w:rsidRPr="00585961">
        <w:rPr>
          <w:sz w:val="20"/>
          <w:szCs w:val="20"/>
        </w:rPr>
        <w:t>services and the bill will be mailed to the same parent. The social security numbers of both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parents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must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be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provided.</w:t>
      </w:r>
    </w:p>
    <w:p w14:paraId="77E27903" w14:textId="77777777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line="252" w:lineRule="auto"/>
        <w:ind w:right="1271" w:hanging="360"/>
        <w:rPr>
          <w:sz w:val="20"/>
          <w:szCs w:val="20"/>
        </w:rPr>
      </w:pPr>
      <w:r w:rsidRPr="00585961">
        <w:rPr>
          <w:sz w:val="20"/>
          <w:szCs w:val="20"/>
        </w:rPr>
        <w:t>Parents who have legally terminated parental rights – Not liable for services received by the</w:t>
      </w:r>
      <w:r w:rsidRPr="00585961">
        <w:rPr>
          <w:spacing w:val="-47"/>
          <w:sz w:val="20"/>
          <w:szCs w:val="20"/>
        </w:rPr>
        <w:t xml:space="preserve"> </w:t>
      </w:r>
      <w:r w:rsidRPr="00585961">
        <w:rPr>
          <w:sz w:val="20"/>
          <w:szCs w:val="20"/>
        </w:rPr>
        <w:t>client after the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date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of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termination.</w:t>
      </w:r>
    </w:p>
    <w:p w14:paraId="464968AB" w14:textId="28636585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before="9" w:line="256" w:lineRule="auto"/>
        <w:ind w:right="1460" w:hanging="360"/>
        <w:rPr>
          <w:sz w:val="20"/>
          <w:szCs w:val="20"/>
        </w:rPr>
      </w:pPr>
      <w:r w:rsidRPr="00585961">
        <w:rPr>
          <w:sz w:val="20"/>
          <w:szCs w:val="20"/>
        </w:rPr>
        <w:t>Divorced consumers – Spouse is not liable for services received by the client after date of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 xml:space="preserve">final judgment in a divorce action. However, </w:t>
      </w:r>
      <w:r w:rsidR="00190763" w:rsidRPr="00585961">
        <w:rPr>
          <w:sz w:val="20"/>
          <w:szCs w:val="20"/>
        </w:rPr>
        <w:t>the spouse</w:t>
      </w:r>
      <w:r w:rsidRPr="00585961">
        <w:rPr>
          <w:sz w:val="20"/>
          <w:szCs w:val="20"/>
        </w:rPr>
        <w:t xml:space="preserve"> is liable for services received by </w:t>
      </w:r>
      <w:proofErr w:type="gramStart"/>
      <w:r w:rsidRPr="00585961">
        <w:rPr>
          <w:sz w:val="20"/>
          <w:szCs w:val="20"/>
        </w:rPr>
        <w:t>client</w:t>
      </w:r>
      <w:r w:rsidR="00190763">
        <w:rPr>
          <w:sz w:val="20"/>
          <w:szCs w:val="20"/>
        </w:rPr>
        <w:t xml:space="preserve"> </w:t>
      </w:r>
      <w:r w:rsidRPr="00585961">
        <w:rPr>
          <w:spacing w:val="-48"/>
          <w:sz w:val="20"/>
          <w:szCs w:val="20"/>
        </w:rPr>
        <w:t xml:space="preserve"> </w:t>
      </w:r>
      <w:r w:rsidRPr="00585961">
        <w:rPr>
          <w:sz w:val="20"/>
          <w:szCs w:val="20"/>
        </w:rPr>
        <w:t>during</w:t>
      </w:r>
      <w:proofErr w:type="gramEnd"/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period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of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marriage.</w:t>
      </w:r>
    </w:p>
    <w:p w14:paraId="09413646" w14:textId="77777777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before="3" w:line="249" w:lineRule="auto"/>
        <w:ind w:right="1346" w:hanging="360"/>
        <w:rPr>
          <w:sz w:val="20"/>
          <w:szCs w:val="20"/>
        </w:rPr>
      </w:pPr>
      <w:r w:rsidRPr="00585961">
        <w:rPr>
          <w:sz w:val="20"/>
          <w:szCs w:val="20"/>
        </w:rPr>
        <w:t>Services received by spouse prior to marriage – Spouse is not liable for services provided to</w:t>
      </w:r>
      <w:r w:rsidRPr="00585961">
        <w:rPr>
          <w:spacing w:val="-47"/>
          <w:sz w:val="20"/>
          <w:szCs w:val="20"/>
        </w:rPr>
        <w:t xml:space="preserve"> </w:t>
      </w:r>
      <w:r w:rsidRPr="00585961">
        <w:rPr>
          <w:sz w:val="20"/>
          <w:szCs w:val="20"/>
        </w:rPr>
        <w:t>client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prior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to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marriage.</w:t>
      </w:r>
    </w:p>
    <w:p w14:paraId="25CBE037" w14:textId="4E837E22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before="12" w:line="256" w:lineRule="auto"/>
        <w:ind w:right="1296" w:hanging="360"/>
        <w:jc w:val="both"/>
        <w:rPr>
          <w:sz w:val="20"/>
          <w:szCs w:val="20"/>
        </w:rPr>
      </w:pPr>
      <w:r w:rsidRPr="00585961">
        <w:rPr>
          <w:sz w:val="20"/>
          <w:szCs w:val="20"/>
        </w:rPr>
        <w:t>Unmarried</w:t>
      </w:r>
      <w:r w:rsidRPr="00585961">
        <w:rPr>
          <w:spacing w:val="-6"/>
          <w:sz w:val="20"/>
          <w:szCs w:val="20"/>
        </w:rPr>
        <w:t xml:space="preserve"> </w:t>
      </w:r>
      <w:r w:rsidRPr="00585961">
        <w:rPr>
          <w:sz w:val="20"/>
          <w:szCs w:val="20"/>
        </w:rPr>
        <w:t>consumers</w:t>
      </w:r>
      <w:r w:rsidRPr="00585961">
        <w:rPr>
          <w:spacing w:val="-5"/>
          <w:sz w:val="20"/>
          <w:szCs w:val="20"/>
        </w:rPr>
        <w:t xml:space="preserve"> </w:t>
      </w:r>
      <w:r w:rsidR="00190763" w:rsidRPr="00585961">
        <w:rPr>
          <w:sz w:val="20"/>
          <w:szCs w:val="20"/>
        </w:rPr>
        <w:t>aged</w:t>
      </w:r>
      <w:r w:rsidRPr="00585961">
        <w:rPr>
          <w:spacing w:val="-5"/>
          <w:sz w:val="20"/>
          <w:szCs w:val="20"/>
        </w:rPr>
        <w:t xml:space="preserve"> </w:t>
      </w:r>
      <w:r w:rsidRPr="00585961">
        <w:rPr>
          <w:sz w:val="20"/>
          <w:szCs w:val="20"/>
        </w:rPr>
        <w:t>18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and</w:t>
      </w:r>
      <w:r w:rsidRPr="00585961">
        <w:rPr>
          <w:spacing w:val="-6"/>
          <w:sz w:val="20"/>
          <w:szCs w:val="20"/>
        </w:rPr>
        <w:t xml:space="preserve"> </w:t>
      </w:r>
      <w:r w:rsidRPr="00585961">
        <w:rPr>
          <w:sz w:val="20"/>
          <w:szCs w:val="20"/>
        </w:rPr>
        <w:t>older</w:t>
      </w:r>
      <w:r w:rsidRPr="00585961">
        <w:rPr>
          <w:spacing w:val="-5"/>
          <w:sz w:val="20"/>
          <w:szCs w:val="20"/>
        </w:rPr>
        <w:t xml:space="preserve"> </w:t>
      </w:r>
      <w:r w:rsidRPr="00585961">
        <w:rPr>
          <w:sz w:val="20"/>
          <w:szCs w:val="20"/>
        </w:rPr>
        <w:t>–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Considered</w:t>
      </w:r>
      <w:r w:rsidRPr="00585961">
        <w:rPr>
          <w:spacing w:val="-6"/>
          <w:sz w:val="20"/>
          <w:szCs w:val="20"/>
        </w:rPr>
        <w:t xml:space="preserve"> </w:t>
      </w:r>
      <w:r w:rsidRPr="00585961">
        <w:rPr>
          <w:sz w:val="20"/>
          <w:szCs w:val="20"/>
        </w:rPr>
        <w:t>a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single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person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family;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however,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VCSB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will bill any applicable third-party benefits under which a parent may insure a child over the</w:t>
      </w:r>
      <w:r w:rsidRPr="00585961">
        <w:rPr>
          <w:spacing w:val="-47"/>
          <w:sz w:val="20"/>
          <w:szCs w:val="20"/>
        </w:rPr>
        <w:t xml:space="preserve"> </w:t>
      </w:r>
      <w:r w:rsidRPr="00585961">
        <w:rPr>
          <w:sz w:val="20"/>
          <w:szCs w:val="20"/>
        </w:rPr>
        <w:t>age of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17.</w:t>
      </w:r>
    </w:p>
    <w:p w14:paraId="19656E15" w14:textId="77777777" w:rsidR="00EF754C" w:rsidRPr="00585961" w:rsidRDefault="00EF754C" w:rsidP="00EF754C">
      <w:pPr>
        <w:pStyle w:val="ListParagraph"/>
        <w:numPr>
          <w:ilvl w:val="0"/>
          <w:numId w:val="1"/>
        </w:numPr>
        <w:tabs>
          <w:tab w:val="left" w:pos="2341"/>
        </w:tabs>
        <w:spacing w:line="256" w:lineRule="auto"/>
        <w:ind w:hanging="360"/>
        <w:rPr>
          <w:sz w:val="20"/>
          <w:szCs w:val="20"/>
        </w:rPr>
      </w:pPr>
      <w:r w:rsidRPr="00585961">
        <w:rPr>
          <w:sz w:val="20"/>
          <w:szCs w:val="20"/>
        </w:rPr>
        <w:t>Minors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–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Any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minor</w:t>
      </w:r>
      <w:r w:rsidRPr="00585961">
        <w:rPr>
          <w:spacing w:val="-5"/>
          <w:sz w:val="20"/>
          <w:szCs w:val="20"/>
        </w:rPr>
        <w:t xml:space="preserve"> </w:t>
      </w:r>
      <w:r w:rsidRPr="00585961">
        <w:rPr>
          <w:sz w:val="20"/>
          <w:szCs w:val="20"/>
        </w:rPr>
        <w:t>who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seeks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services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but</w:t>
      </w:r>
      <w:r w:rsidRPr="00585961">
        <w:rPr>
          <w:spacing w:val="-4"/>
          <w:sz w:val="20"/>
          <w:szCs w:val="20"/>
        </w:rPr>
        <w:t xml:space="preserve"> </w:t>
      </w:r>
      <w:r w:rsidRPr="00585961">
        <w:rPr>
          <w:sz w:val="20"/>
          <w:szCs w:val="20"/>
        </w:rPr>
        <w:t>does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not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wish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to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divulge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this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information</w:t>
      </w:r>
      <w:r w:rsidRPr="00585961">
        <w:rPr>
          <w:spacing w:val="-3"/>
          <w:sz w:val="20"/>
          <w:szCs w:val="20"/>
        </w:rPr>
        <w:t xml:space="preserve"> </w:t>
      </w:r>
      <w:r w:rsidRPr="00585961">
        <w:rPr>
          <w:sz w:val="20"/>
          <w:szCs w:val="20"/>
        </w:rPr>
        <w:t>to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their</w:t>
      </w:r>
      <w:r w:rsidRPr="00585961">
        <w:rPr>
          <w:spacing w:val="-47"/>
          <w:sz w:val="20"/>
          <w:szCs w:val="20"/>
        </w:rPr>
        <w:t xml:space="preserve"> </w:t>
      </w:r>
      <w:r w:rsidRPr="00585961">
        <w:rPr>
          <w:sz w:val="20"/>
          <w:szCs w:val="20"/>
        </w:rPr>
        <w:t>parents and/or legal guardians will have the right to do so. In addition, all financial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information and/or third-party resources will have to be considered solely on that available</w:t>
      </w:r>
      <w:r w:rsidRPr="00585961">
        <w:rPr>
          <w:spacing w:val="1"/>
          <w:sz w:val="20"/>
          <w:szCs w:val="20"/>
        </w:rPr>
        <w:t xml:space="preserve"> </w:t>
      </w:r>
      <w:r w:rsidRPr="00585961">
        <w:rPr>
          <w:sz w:val="20"/>
          <w:szCs w:val="20"/>
        </w:rPr>
        <w:t>directly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to</w:t>
      </w:r>
      <w:r w:rsidRPr="00585961">
        <w:rPr>
          <w:spacing w:val="-1"/>
          <w:sz w:val="20"/>
          <w:szCs w:val="20"/>
        </w:rPr>
        <w:t xml:space="preserve"> </w:t>
      </w:r>
      <w:r w:rsidRPr="00585961">
        <w:rPr>
          <w:sz w:val="20"/>
          <w:szCs w:val="20"/>
        </w:rPr>
        <w:t>the</w:t>
      </w:r>
      <w:r w:rsidRPr="00585961">
        <w:rPr>
          <w:spacing w:val="-2"/>
          <w:sz w:val="20"/>
          <w:szCs w:val="20"/>
        </w:rPr>
        <w:t xml:space="preserve"> </w:t>
      </w:r>
      <w:r w:rsidRPr="00585961">
        <w:rPr>
          <w:sz w:val="20"/>
          <w:szCs w:val="20"/>
        </w:rPr>
        <w:t>minor.</w:t>
      </w:r>
    </w:p>
    <w:p w14:paraId="3685E077" w14:textId="77777777" w:rsidR="00424DE8" w:rsidRDefault="00424DE8">
      <w:pPr>
        <w:sectPr w:rsidR="00424DE8" w:rsidSect="00CA2A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685E078" w14:textId="77777777" w:rsidR="00424DE8" w:rsidRDefault="00424DE8">
      <w:pPr>
        <w:pStyle w:val="BodyText"/>
        <w:spacing w:before="7"/>
        <w:rPr>
          <w:sz w:val="26"/>
        </w:rPr>
      </w:pPr>
    </w:p>
    <w:p w14:paraId="3685E090" w14:textId="03D1D178" w:rsidR="00424DE8" w:rsidRDefault="00561E95" w:rsidP="00561E95">
      <w:pPr>
        <w:pStyle w:val="BodyText"/>
        <w:spacing w:before="9"/>
        <w:jc w:val="center"/>
        <w:rPr>
          <w:sz w:val="20"/>
          <w:szCs w:val="20"/>
        </w:rPr>
      </w:pPr>
      <w:bookmarkStart w:id="1" w:name="Binder1.pdf"/>
      <w:bookmarkStart w:id="2" w:name="new_finacial.pdf"/>
      <w:bookmarkStart w:id="3" w:name="sliding_fee_application_no_watermark.pdf"/>
      <w:bookmarkEnd w:id="1"/>
      <w:bookmarkEnd w:id="2"/>
      <w:bookmarkEnd w:id="3"/>
      <w:r>
        <w:rPr>
          <w:sz w:val="20"/>
          <w:szCs w:val="20"/>
        </w:rPr>
        <w:t>H</w:t>
      </w:r>
      <w:r w:rsidR="00585961" w:rsidRPr="00F45E08">
        <w:rPr>
          <w:sz w:val="20"/>
          <w:szCs w:val="20"/>
        </w:rPr>
        <w:t>elpful tools</w:t>
      </w:r>
    </w:p>
    <w:p w14:paraId="2B751C83" w14:textId="77777777" w:rsidR="009253CD" w:rsidRDefault="009253CD" w:rsidP="00561E95">
      <w:pPr>
        <w:pStyle w:val="BodyText"/>
        <w:spacing w:before="9"/>
        <w:jc w:val="center"/>
        <w:rPr>
          <w:sz w:val="20"/>
          <w:szCs w:val="20"/>
        </w:rPr>
      </w:pPr>
    </w:p>
    <w:p w14:paraId="7EAE9400" w14:textId="24339A8B" w:rsidR="005D1BFD" w:rsidRDefault="005D1BFD" w:rsidP="00735B40">
      <w:pPr>
        <w:pStyle w:val="BodyText"/>
        <w:rPr>
          <w:sz w:val="20"/>
          <w:szCs w:val="20"/>
        </w:rPr>
      </w:pPr>
      <w:r w:rsidRPr="00F45E08">
        <w:rPr>
          <w:sz w:val="20"/>
          <w:szCs w:val="20"/>
        </w:rPr>
        <w:t xml:space="preserve">Federal Poverty Level is what is used to determine your eligibility for a </w:t>
      </w:r>
      <w:r w:rsidR="004928E9" w:rsidRPr="00F45E08">
        <w:rPr>
          <w:sz w:val="20"/>
          <w:szCs w:val="20"/>
        </w:rPr>
        <w:t>fee-based</w:t>
      </w:r>
      <w:r w:rsidRPr="00F45E08">
        <w:rPr>
          <w:sz w:val="20"/>
          <w:szCs w:val="20"/>
        </w:rPr>
        <w:t xml:space="preserve"> reduction.  Reductions are applied to incomes that are 200% above the federal poverty level or less.  </w:t>
      </w:r>
      <w:bookmarkStart w:id="4" w:name="Instructions:"/>
      <w:bookmarkStart w:id="5" w:name="Annual_Income_Thresholds_by_Sliding_Fee_"/>
      <w:bookmarkEnd w:id="4"/>
      <w:bookmarkEnd w:id="5"/>
      <w:r w:rsidR="00735B40" w:rsidRPr="00F45E08">
        <w:rPr>
          <w:sz w:val="20"/>
          <w:szCs w:val="20"/>
        </w:rPr>
        <w:t>T</w:t>
      </w:r>
      <w:r w:rsidRPr="00F45E08">
        <w:rPr>
          <w:sz w:val="20"/>
          <w:szCs w:val="20"/>
        </w:rPr>
        <w:t xml:space="preserve">he chart </w:t>
      </w:r>
      <w:r w:rsidR="002A4481" w:rsidRPr="00F45E08">
        <w:rPr>
          <w:sz w:val="20"/>
          <w:szCs w:val="20"/>
        </w:rPr>
        <w:t>below</w:t>
      </w:r>
      <w:r w:rsidR="004D2684" w:rsidRPr="00F45E08">
        <w:rPr>
          <w:sz w:val="20"/>
          <w:szCs w:val="20"/>
        </w:rPr>
        <w:t xml:space="preserve"> shows the income</w:t>
      </w:r>
      <w:r w:rsidRPr="00F45E08">
        <w:rPr>
          <w:sz w:val="20"/>
          <w:szCs w:val="20"/>
        </w:rPr>
        <w:t xml:space="preserve"> </w:t>
      </w:r>
      <w:r w:rsidR="00EB5610" w:rsidRPr="00F45E08">
        <w:rPr>
          <w:sz w:val="20"/>
          <w:szCs w:val="20"/>
        </w:rPr>
        <w:t xml:space="preserve">level and household size that </w:t>
      </w:r>
      <w:r w:rsidRPr="00F45E08">
        <w:rPr>
          <w:sz w:val="20"/>
          <w:szCs w:val="20"/>
        </w:rPr>
        <w:t>VCSB will use to determine the amount of discount that will be applied to applicable services</w:t>
      </w:r>
      <w:r w:rsidR="00585961" w:rsidRPr="00F45E08">
        <w:rPr>
          <w:sz w:val="20"/>
          <w:szCs w:val="20"/>
        </w:rPr>
        <w:t>.  Please note that the minimum amount that a client will be responsible for is $10/service.</w:t>
      </w:r>
    </w:p>
    <w:p w14:paraId="4342E167" w14:textId="77777777" w:rsidR="0015448B" w:rsidRPr="00F45E08" w:rsidRDefault="0015448B" w:rsidP="00735B40">
      <w:pPr>
        <w:pStyle w:val="BodyText"/>
        <w:rPr>
          <w:sz w:val="20"/>
          <w:szCs w:val="20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816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15448B" w:rsidRPr="0015448B" w14:paraId="472561B2" w14:textId="77777777" w:rsidTr="0015448B">
        <w:trPr>
          <w:trHeight w:val="312"/>
        </w:trPr>
        <w:tc>
          <w:tcPr>
            <w:tcW w:w="8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234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448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VCSB Fee Reduction Schedule</w:t>
            </w:r>
          </w:p>
        </w:tc>
      </w:tr>
      <w:tr w:rsidR="0015448B" w:rsidRPr="0015448B" w14:paraId="282856A0" w14:textId="77777777" w:rsidTr="0015448B">
        <w:trPr>
          <w:trHeight w:val="288"/>
        </w:trPr>
        <w:tc>
          <w:tcPr>
            <w:tcW w:w="8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0021B4F9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448B">
              <w:rPr>
                <w:rFonts w:eastAsia="Times New Roman"/>
                <w:b/>
                <w:bCs/>
                <w:color w:val="000000"/>
              </w:rPr>
              <w:t>Your cost share based on household size</w:t>
            </w:r>
          </w:p>
        </w:tc>
      </w:tr>
      <w:tr w:rsidR="0015448B" w:rsidRPr="0015448B" w14:paraId="251CD1A1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B6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5448B">
              <w:rPr>
                <w:rFonts w:eastAsia="Times New Roman"/>
                <w:b/>
                <w:bCs/>
                <w:color w:val="000000"/>
              </w:rPr>
              <w:t>Monthly Income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C2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39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697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78D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1C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9CF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C17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BC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15448B">
              <w:rPr>
                <w:rFonts w:eastAsia="Times New Roman"/>
                <w:color w:val="000000"/>
              </w:rPr>
              <w:t>8</w:t>
            </w:r>
          </w:p>
        </w:tc>
      </w:tr>
      <w:tr w:rsidR="0015448B" w:rsidRPr="0015448B" w14:paraId="3E6C2F0C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0E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$1,216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1E4F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F3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EC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C8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3E4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209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5C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DE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$10</w:t>
            </w:r>
          </w:p>
        </w:tc>
      </w:tr>
      <w:tr w:rsidR="0015448B" w:rsidRPr="0015448B" w14:paraId="0B7B5ED1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E8F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$1,643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D9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E07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4C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FF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C08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84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083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E5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 xml:space="preserve">$10 </w:t>
            </w:r>
          </w:p>
        </w:tc>
      </w:tr>
      <w:tr w:rsidR="0015448B" w:rsidRPr="0015448B" w14:paraId="1D5CE527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EA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$2,072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613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A56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A2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A0F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944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B0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0E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E9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</w:tr>
      <w:tr w:rsidR="0015448B" w:rsidRPr="0015448B" w14:paraId="28CE216D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D90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69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FF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8FA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D4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34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EE6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3C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59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20%</w:t>
            </w:r>
          </w:p>
        </w:tc>
      </w:tr>
      <w:tr w:rsidR="0015448B" w:rsidRPr="0015448B" w14:paraId="23CD4DD9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ED8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$2,928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97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E0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9B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763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CA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22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90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CF7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</w:tr>
      <w:tr w:rsidR="0015448B" w:rsidRPr="0015448B" w14:paraId="6B928972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79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$3,357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EF6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06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F65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C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5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6D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80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91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40%</w:t>
            </w:r>
          </w:p>
        </w:tc>
      </w:tr>
      <w:tr w:rsidR="0015448B" w:rsidRPr="0015448B" w14:paraId="030EC89E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40F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$3,785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826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7A7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74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BE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57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03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99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AD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</w:tr>
      <w:tr w:rsidR="0015448B" w:rsidRPr="0015448B" w14:paraId="37C2CF6E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A7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$4,213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85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B75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487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4C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7A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FA6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37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278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</w:tr>
      <w:tr w:rsidR="0015448B" w:rsidRPr="0015448B" w14:paraId="3548AB03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FEC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$4,663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D14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B22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0C4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A8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61DA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0FD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6C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078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</w:tr>
      <w:tr w:rsidR="0015448B" w:rsidRPr="0015448B" w14:paraId="49ED1448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FC0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$5,133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489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92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198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5D3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C9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A5E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D01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CCB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</w:tr>
      <w:tr w:rsidR="0015448B" w:rsidRPr="0015448B" w14:paraId="1B861461" w14:textId="77777777" w:rsidTr="0015448B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483" w14:textId="77777777" w:rsidR="0015448B" w:rsidRPr="0015448B" w:rsidRDefault="0015448B" w:rsidP="001544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DB5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AD3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D71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D95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552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3D5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4C3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345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48B" w:rsidRPr="0015448B" w14:paraId="0A7E2286" w14:textId="77777777" w:rsidTr="0015448B">
        <w:trPr>
          <w:trHeight w:val="288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FE3" w14:textId="77777777" w:rsidR="0015448B" w:rsidRPr="0015448B" w:rsidRDefault="0015448B" w:rsidP="0015448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5448B">
              <w:rPr>
                <w:rFonts w:eastAsia="Times New Roman"/>
                <w:color w:val="000000"/>
                <w:sz w:val="20"/>
                <w:szCs w:val="20"/>
              </w:rPr>
              <w:t>**For each additional person in household add $450 to the monthly income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85B" w14:textId="77777777" w:rsidR="0015448B" w:rsidRPr="0015448B" w:rsidRDefault="0015448B" w:rsidP="0015448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A14" w14:textId="77777777" w:rsidR="0015448B" w:rsidRPr="0015448B" w:rsidRDefault="0015448B" w:rsidP="00154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E76D1F" w14:textId="41DADEEB" w:rsidR="00EF754C" w:rsidRPr="003C4347" w:rsidRDefault="00EF754C" w:rsidP="00EF754C">
      <w:pPr>
        <w:pStyle w:val="BodyText"/>
        <w:ind w:left="1368"/>
        <w:rPr>
          <w:sz w:val="20"/>
          <w:szCs w:val="20"/>
        </w:rPr>
      </w:pPr>
    </w:p>
    <w:p w14:paraId="555F86E0" w14:textId="77777777" w:rsidR="00F442DF" w:rsidRPr="003C4347" w:rsidRDefault="00F442DF" w:rsidP="00EF754C">
      <w:pPr>
        <w:pStyle w:val="BodyText"/>
        <w:ind w:left="1368"/>
        <w:rPr>
          <w:sz w:val="20"/>
          <w:szCs w:val="20"/>
        </w:rPr>
      </w:pPr>
    </w:p>
    <w:p w14:paraId="47CE142C" w14:textId="7970F3C2" w:rsidR="0036558F" w:rsidRPr="003C4347" w:rsidRDefault="0036558F">
      <w:pPr>
        <w:rPr>
          <w:sz w:val="20"/>
          <w:szCs w:val="20"/>
        </w:rPr>
      </w:pPr>
      <w:r w:rsidRPr="003C4347">
        <w:rPr>
          <w:b/>
          <w:bCs/>
          <w:sz w:val="20"/>
          <w:szCs w:val="20"/>
        </w:rPr>
        <w:t>To obtain additional information related to Medicaid eligibility or coverage please see below contact information:</w:t>
      </w:r>
    </w:p>
    <w:p w14:paraId="1442D9FB" w14:textId="77777777" w:rsidR="0036558F" w:rsidRPr="003C4347" w:rsidRDefault="0036558F" w:rsidP="0036558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</w:pP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Apply online at </w:t>
      </w:r>
      <w:hyperlink r:id="rId13" w:tgtFrame="_blank" w:tooltip="Links to commonhelp.viginia.gov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commonhelp.virginia.gov</w:t>
        </w:r>
      </w:hyperlink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.</w:t>
      </w:r>
    </w:p>
    <w:p w14:paraId="63B13551" w14:textId="77777777" w:rsidR="0036558F" w:rsidRPr="003C4347" w:rsidRDefault="0036558F" w:rsidP="0036558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</w:pP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Call the Cover Virginia Call Center Monday through Friday, 8 a.m. to 7 p.m. and Saturday 9 a.m. to 12 p.m. at </w:t>
      </w:r>
      <w:r w:rsidRPr="003C4347">
        <w:rPr>
          <w:rFonts w:asciiTheme="minorHAnsi" w:eastAsia="Times New Roman" w:hAnsiTheme="minorHAnsi" w:cstheme="minorHAnsi"/>
          <w:b/>
          <w:bCs/>
          <w:color w:val="000000"/>
          <w:spacing w:val="5"/>
          <w:sz w:val="20"/>
          <w:szCs w:val="20"/>
        </w:rPr>
        <w:t>833-5CALLVA</w:t>
      </w: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 (</w:t>
      </w:r>
      <w:r w:rsidRPr="003C4347">
        <w:rPr>
          <w:rFonts w:asciiTheme="minorHAnsi" w:eastAsia="Times New Roman" w:hAnsiTheme="minorHAnsi" w:cstheme="minorHAnsi"/>
          <w:b/>
          <w:bCs/>
          <w:color w:val="000000"/>
          <w:spacing w:val="5"/>
          <w:sz w:val="20"/>
          <w:szCs w:val="20"/>
        </w:rPr>
        <w:t>TDD: 1-888-221-1590</w:t>
      </w: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).</w:t>
      </w:r>
    </w:p>
    <w:p w14:paraId="20575B0A" w14:textId="77777777" w:rsidR="0036558F" w:rsidRPr="003C4347" w:rsidRDefault="0036558F" w:rsidP="0036558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</w:pP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Apply online at the Health Insurance Marketplace at </w:t>
      </w:r>
      <w:hyperlink r:id="rId14" w:tgtFrame="_blank" w:tooltip="Links to healthcare.gov website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healthcare.gov</w:t>
        </w:r>
      </w:hyperlink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.</w:t>
      </w:r>
    </w:p>
    <w:p w14:paraId="524C56B7" w14:textId="77777777" w:rsidR="0036558F" w:rsidRPr="003C4347" w:rsidRDefault="0036558F" w:rsidP="0036558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</w:pP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Mail or drop off a paper application to your local Department of Social Services (DSS) ([PDF]</w:t>
      </w:r>
      <w:hyperlink r:id="rId15" w:tooltip="MAGI Standard Application 04 01 23 FINAL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English</w:t>
        </w:r>
      </w:hyperlink>
      <w:hyperlink r:id="rId16" w:tgtFrame="_blank" w:tooltip="FINAL English MAGI Standard Application 022221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 </w:t>
        </w:r>
      </w:hyperlink>
      <w:hyperlink r:id="rId17" w:tooltip="MAGI Standard Application 04 01 23 FINAL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application</w:t>
        </w:r>
      </w:hyperlink>
      <w:hyperlink r:id="rId18" w:tooltip="MAGI Standard Application 04 01 23 FINAL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 </w:t>
        </w:r>
      </w:hyperlink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[PDF]</w:t>
      </w:r>
      <w:hyperlink r:id="rId19" w:tooltip="MAGI 1S Spanish Standard Application 04 01 23 FINAL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Spanish application</w:t>
        </w:r>
      </w:hyperlink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  <w:u w:val="single"/>
        </w:rPr>
        <w:t>)</w:t>
      </w:r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. Mailing may take longer than other ways of applying. To find your local DSS, go to </w:t>
      </w:r>
      <w:hyperlink r:id="rId20" w:tgtFrame="_blank" w:tooltip="Links to Virginia department of social services" w:history="1"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dss.virginia.gov/</w:t>
        </w:r>
        <w:proofErr w:type="spellStart"/>
        <w:r w:rsidRPr="003C4347">
          <w:rPr>
            <w:rFonts w:asciiTheme="minorHAnsi" w:eastAsia="Times New Roman" w:hAnsiTheme="minorHAnsi" w:cstheme="minorHAnsi"/>
            <w:b/>
            <w:bCs/>
            <w:color w:val="0000FF"/>
            <w:spacing w:val="5"/>
            <w:sz w:val="20"/>
            <w:szCs w:val="20"/>
            <w:u w:val="single"/>
          </w:rPr>
          <w:t>localagency</w:t>
        </w:r>
        <w:proofErr w:type="spellEnd"/>
      </w:hyperlink>
      <w:r w:rsidRPr="003C4347">
        <w:rPr>
          <w:rFonts w:asciiTheme="minorHAnsi" w:eastAsia="Times New Roman" w:hAnsiTheme="minorHAnsi" w:cstheme="minorHAnsi"/>
          <w:color w:val="000000"/>
          <w:spacing w:val="5"/>
          <w:sz w:val="20"/>
          <w:szCs w:val="20"/>
        </w:rPr>
        <w:t>.</w:t>
      </w:r>
    </w:p>
    <w:p w14:paraId="61931C32" w14:textId="77777777" w:rsidR="0036558F" w:rsidRDefault="0036558F"/>
    <w:sectPr w:rsidR="0036558F" w:rsidSect="005412A9">
      <w:headerReference w:type="default" r:id="rId21"/>
      <w:footerReference w:type="default" r:id="rId22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0CA4" w14:textId="77777777" w:rsidR="00200547" w:rsidRDefault="00200547">
      <w:r>
        <w:separator/>
      </w:r>
    </w:p>
  </w:endnote>
  <w:endnote w:type="continuationSeparator" w:id="0">
    <w:p w14:paraId="10A32F44" w14:textId="77777777" w:rsidR="00200547" w:rsidRDefault="0020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2AEA" w14:textId="77777777" w:rsidR="00A524F7" w:rsidRDefault="00A5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609" w14:textId="29272680" w:rsidR="00A524F7" w:rsidRDefault="00A524F7">
    <w:pPr>
      <w:pStyle w:val="Footer"/>
    </w:pPr>
    <w:r>
      <w:t>Revised 08/23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2957" w14:textId="77777777" w:rsidR="00A524F7" w:rsidRDefault="00A524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655E3" w14:textId="6171E845" w:rsidR="00A524F7" w:rsidRDefault="00A52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5E155" w14:textId="77777777" w:rsidR="00424DE8" w:rsidRDefault="00424D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4A11" w14:textId="77777777" w:rsidR="00200547" w:rsidRDefault="00200547">
      <w:r>
        <w:separator/>
      </w:r>
    </w:p>
  </w:footnote>
  <w:footnote w:type="continuationSeparator" w:id="0">
    <w:p w14:paraId="78ACE1DD" w14:textId="77777777" w:rsidR="00200547" w:rsidRDefault="0020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071A" w14:textId="77777777" w:rsidR="00A524F7" w:rsidRDefault="00A5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8DA2" w14:textId="789F9B06" w:rsidR="00EF754C" w:rsidRDefault="00EF754C" w:rsidP="00710E65">
    <w:pPr>
      <w:spacing w:line="305" w:lineRule="exact"/>
      <w:ind w:left="2900" w:firstLine="700"/>
      <w:rPr>
        <w:b/>
        <w:sz w:val="28"/>
      </w:rPr>
    </w:pPr>
    <w:r>
      <w:rPr>
        <w:b/>
        <w:sz w:val="28"/>
      </w:rPr>
      <w:t>VALLEY</w:t>
    </w:r>
    <w:r>
      <w:rPr>
        <w:b/>
        <w:spacing w:val="-4"/>
        <w:sz w:val="28"/>
      </w:rPr>
      <w:t xml:space="preserve"> </w:t>
    </w:r>
    <w:r>
      <w:rPr>
        <w:b/>
        <w:sz w:val="28"/>
      </w:rPr>
      <w:t>COMMUNITY</w:t>
    </w:r>
    <w:r>
      <w:rPr>
        <w:b/>
        <w:spacing w:val="-3"/>
        <w:sz w:val="28"/>
      </w:rPr>
      <w:t xml:space="preserve"> </w:t>
    </w:r>
    <w:r>
      <w:rPr>
        <w:b/>
        <w:sz w:val="28"/>
      </w:rPr>
      <w:t>SERVICES</w:t>
    </w:r>
    <w:r>
      <w:rPr>
        <w:b/>
        <w:spacing w:val="-4"/>
        <w:sz w:val="28"/>
      </w:rPr>
      <w:t xml:space="preserve"> </w:t>
    </w:r>
    <w:r>
      <w:rPr>
        <w:b/>
        <w:sz w:val="28"/>
      </w:rPr>
      <w:t>BOARD</w:t>
    </w:r>
  </w:p>
  <w:p w14:paraId="400F3114" w14:textId="77777777" w:rsidR="00EF754C" w:rsidRDefault="00EF754C" w:rsidP="00710E65">
    <w:pPr>
      <w:spacing w:line="341" w:lineRule="exact"/>
      <w:ind w:left="3620" w:firstLine="700"/>
      <w:rPr>
        <w:b/>
        <w:sz w:val="28"/>
      </w:rPr>
    </w:pPr>
    <w:r>
      <w:rPr>
        <w:b/>
        <w:sz w:val="28"/>
      </w:rPr>
      <w:t>Fee</w:t>
    </w:r>
    <w:r>
      <w:rPr>
        <w:b/>
        <w:spacing w:val="-3"/>
        <w:sz w:val="28"/>
      </w:rPr>
      <w:t xml:space="preserve"> </w:t>
    </w:r>
    <w:r>
      <w:rPr>
        <w:b/>
        <w:sz w:val="28"/>
      </w:rPr>
      <w:t>Reduction</w:t>
    </w:r>
    <w:r>
      <w:rPr>
        <w:b/>
        <w:spacing w:val="-3"/>
        <w:sz w:val="28"/>
      </w:rPr>
      <w:t xml:space="preserve"> </w:t>
    </w:r>
    <w:r>
      <w:rPr>
        <w:b/>
        <w:sz w:val="28"/>
      </w:rPr>
      <w:t>Application</w:t>
    </w:r>
  </w:p>
  <w:p w14:paraId="0328BA4B" w14:textId="28AFBAD7" w:rsidR="00EF754C" w:rsidRDefault="00EF754C">
    <w:pPr>
      <w:pStyle w:val="Header"/>
    </w:pPr>
  </w:p>
  <w:p w14:paraId="3AC99DC7" w14:textId="5547C2C4" w:rsidR="00EF754C" w:rsidRPr="00EF754C" w:rsidRDefault="00EF754C" w:rsidP="00EF7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6C8F" w14:textId="77777777" w:rsidR="00A524F7" w:rsidRDefault="00A524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154" w14:textId="77777777" w:rsidR="00424DE8" w:rsidRDefault="00424DE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BF3"/>
    <w:multiLevelType w:val="multilevel"/>
    <w:tmpl w:val="E6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06934"/>
    <w:multiLevelType w:val="hybridMultilevel"/>
    <w:tmpl w:val="9FAABF50"/>
    <w:lvl w:ilvl="0" w:tplc="0870FFDE">
      <w:numFmt w:val="bullet"/>
      <w:lvlText w:val="o"/>
      <w:lvlJc w:val="left"/>
      <w:pPr>
        <w:ind w:left="233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B0AA1202">
      <w:numFmt w:val="bullet"/>
      <w:lvlText w:val="•"/>
      <w:lvlJc w:val="left"/>
      <w:pPr>
        <w:ind w:left="3290" w:hanging="361"/>
      </w:pPr>
      <w:rPr>
        <w:rFonts w:hint="default"/>
      </w:rPr>
    </w:lvl>
    <w:lvl w:ilvl="2" w:tplc="2F9CD4F2">
      <w:numFmt w:val="bullet"/>
      <w:lvlText w:val="•"/>
      <w:lvlJc w:val="left"/>
      <w:pPr>
        <w:ind w:left="4240" w:hanging="361"/>
      </w:pPr>
      <w:rPr>
        <w:rFonts w:hint="default"/>
      </w:rPr>
    </w:lvl>
    <w:lvl w:ilvl="3" w:tplc="E84C4AF4">
      <w:numFmt w:val="bullet"/>
      <w:lvlText w:val="•"/>
      <w:lvlJc w:val="left"/>
      <w:pPr>
        <w:ind w:left="5190" w:hanging="361"/>
      </w:pPr>
      <w:rPr>
        <w:rFonts w:hint="default"/>
      </w:rPr>
    </w:lvl>
    <w:lvl w:ilvl="4" w:tplc="C9BAA004">
      <w:numFmt w:val="bullet"/>
      <w:lvlText w:val="•"/>
      <w:lvlJc w:val="left"/>
      <w:pPr>
        <w:ind w:left="6140" w:hanging="361"/>
      </w:pPr>
      <w:rPr>
        <w:rFonts w:hint="default"/>
      </w:rPr>
    </w:lvl>
    <w:lvl w:ilvl="5" w:tplc="2618E772">
      <w:numFmt w:val="bullet"/>
      <w:lvlText w:val="•"/>
      <w:lvlJc w:val="left"/>
      <w:pPr>
        <w:ind w:left="7090" w:hanging="361"/>
      </w:pPr>
      <w:rPr>
        <w:rFonts w:hint="default"/>
      </w:rPr>
    </w:lvl>
    <w:lvl w:ilvl="6" w:tplc="BD96CC0E">
      <w:numFmt w:val="bullet"/>
      <w:lvlText w:val="•"/>
      <w:lvlJc w:val="left"/>
      <w:pPr>
        <w:ind w:left="8040" w:hanging="361"/>
      </w:pPr>
      <w:rPr>
        <w:rFonts w:hint="default"/>
      </w:rPr>
    </w:lvl>
    <w:lvl w:ilvl="7" w:tplc="BC220C56">
      <w:numFmt w:val="bullet"/>
      <w:lvlText w:val="•"/>
      <w:lvlJc w:val="left"/>
      <w:pPr>
        <w:ind w:left="8990" w:hanging="361"/>
      </w:pPr>
      <w:rPr>
        <w:rFonts w:hint="default"/>
      </w:rPr>
    </w:lvl>
    <w:lvl w:ilvl="8" w:tplc="B980F92C">
      <w:numFmt w:val="bullet"/>
      <w:lvlText w:val="•"/>
      <w:lvlJc w:val="left"/>
      <w:pPr>
        <w:ind w:left="9940" w:hanging="361"/>
      </w:pPr>
      <w:rPr>
        <w:rFonts w:hint="default"/>
      </w:rPr>
    </w:lvl>
  </w:abstractNum>
  <w:num w:numId="1" w16cid:durableId="1923835607">
    <w:abstractNumId w:val="1"/>
  </w:num>
  <w:num w:numId="2" w16cid:durableId="137438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E8"/>
    <w:rsid w:val="00024A19"/>
    <w:rsid w:val="00034C2E"/>
    <w:rsid w:val="000572D5"/>
    <w:rsid w:val="000820DD"/>
    <w:rsid w:val="000A699C"/>
    <w:rsid w:val="0015448B"/>
    <w:rsid w:val="00190763"/>
    <w:rsid w:val="00200547"/>
    <w:rsid w:val="002A4481"/>
    <w:rsid w:val="003040D8"/>
    <w:rsid w:val="0033090B"/>
    <w:rsid w:val="003418F9"/>
    <w:rsid w:val="0034381E"/>
    <w:rsid w:val="0036558F"/>
    <w:rsid w:val="003939FF"/>
    <w:rsid w:val="003A5ADF"/>
    <w:rsid w:val="003C4347"/>
    <w:rsid w:val="00403C1F"/>
    <w:rsid w:val="00424DE8"/>
    <w:rsid w:val="00477D7F"/>
    <w:rsid w:val="004928E9"/>
    <w:rsid w:val="004A138E"/>
    <w:rsid w:val="004B213A"/>
    <w:rsid w:val="004D2684"/>
    <w:rsid w:val="004F1BF0"/>
    <w:rsid w:val="004F1FE4"/>
    <w:rsid w:val="005412A9"/>
    <w:rsid w:val="00561E95"/>
    <w:rsid w:val="00585961"/>
    <w:rsid w:val="005A6163"/>
    <w:rsid w:val="005D1BFD"/>
    <w:rsid w:val="00643680"/>
    <w:rsid w:val="00653981"/>
    <w:rsid w:val="00660C5B"/>
    <w:rsid w:val="00667359"/>
    <w:rsid w:val="006B0A75"/>
    <w:rsid w:val="006D61D6"/>
    <w:rsid w:val="00710E65"/>
    <w:rsid w:val="00735B40"/>
    <w:rsid w:val="00777C0D"/>
    <w:rsid w:val="00802A80"/>
    <w:rsid w:val="00832094"/>
    <w:rsid w:val="008A3BF1"/>
    <w:rsid w:val="008C094B"/>
    <w:rsid w:val="009253CD"/>
    <w:rsid w:val="0098188A"/>
    <w:rsid w:val="009940C2"/>
    <w:rsid w:val="00A524F7"/>
    <w:rsid w:val="00AF3E11"/>
    <w:rsid w:val="00CA2A5F"/>
    <w:rsid w:val="00CD1FEF"/>
    <w:rsid w:val="00D236A2"/>
    <w:rsid w:val="00D4230F"/>
    <w:rsid w:val="00D44A79"/>
    <w:rsid w:val="00D519D0"/>
    <w:rsid w:val="00D72E1B"/>
    <w:rsid w:val="00DA35CA"/>
    <w:rsid w:val="00DB1511"/>
    <w:rsid w:val="00DC7113"/>
    <w:rsid w:val="00DD28E9"/>
    <w:rsid w:val="00DD375E"/>
    <w:rsid w:val="00DF64E0"/>
    <w:rsid w:val="00E1734B"/>
    <w:rsid w:val="00E407F1"/>
    <w:rsid w:val="00E4657F"/>
    <w:rsid w:val="00E75279"/>
    <w:rsid w:val="00E7624D"/>
    <w:rsid w:val="00EB5610"/>
    <w:rsid w:val="00EF754C"/>
    <w:rsid w:val="00F30B66"/>
    <w:rsid w:val="00F442DF"/>
    <w:rsid w:val="00F45E08"/>
    <w:rsid w:val="00F50519"/>
    <w:rsid w:val="00F80D5F"/>
    <w:rsid w:val="00F935EE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5E00E"/>
  <w15:docId w15:val="{D2CD13B8-6EDB-471E-8DAF-659C919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60"/>
      <w:outlineLvl w:val="0"/>
    </w:pPr>
    <w:rPr>
      <w:rFonts w:ascii="Calibri Light" w:eastAsia="Calibri Light" w:hAnsi="Calibri Light" w:cs="Calibri Light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2339" w:right="12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ommonhelp.virginia.gov/" TargetMode="External"/><Relationship Id="rId18" Type="http://schemas.openxmlformats.org/officeDocument/2006/relationships/hyperlink" Target="https://coverva.dmas.virginia.gov/media/wk4pxmfz/magi-standard-application-04-01-23-final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overva.dmas.virginia.gov/media/wk4pxmfz/magi-standard-application-04-01-23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verva.dmas.virginia.gov/media/1211/final-english-magi-standard-application-022221.pdf" TargetMode="External"/><Relationship Id="rId20" Type="http://schemas.openxmlformats.org/officeDocument/2006/relationships/hyperlink" Target="https://www.dss.virginia.gov/localagency/index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verva.dmas.virginia.gov/media/wk4pxmfz/magi-standard-application-04-01-23-final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coverva.dmas.virginia.gov/media/eekjwvzr/magi-1s-spanish-standard-application-04-01-23-fina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ealthcare.gov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Patricia Armstrong</cp:lastModifiedBy>
  <cp:revision>2</cp:revision>
  <dcterms:created xsi:type="dcterms:W3CDTF">2023-08-31T13:43:00Z</dcterms:created>
  <dcterms:modified xsi:type="dcterms:W3CDTF">2023-08-31T13:43:00Z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2022-02-14T00:00:00Z</vt:filetime>
  </property>
</Properties>
</file>